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BE00E" w14:textId="2CE4967D" w:rsidR="00E3384B" w:rsidRPr="00E3384B" w:rsidRDefault="00E3384B" w:rsidP="00E3384B">
      <w:pPr>
        <w:spacing w:line="276" w:lineRule="auto"/>
        <w:jc w:val="center"/>
        <w:rPr>
          <w:rFonts w:ascii="Arial" w:hAnsi="Arial" w:cs="Arial"/>
          <w:sz w:val="22"/>
        </w:rPr>
      </w:pPr>
      <w:r w:rsidRPr="00E3384B">
        <w:rPr>
          <w:rFonts w:ascii="Arial" w:hAnsi="Arial" w:cs="Arial"/>
          <w:b/>
          <w:bCs/>
          <w:sz w:val="22"/>
        </w:rPr>
        <w:t>EMAIL INDEMNITY FOR DEALING WITH SBI I</w:t>
      </w:r>
      <w:r>
        <w:rPr>
          <w:rFonts w:ascii="Arial" w:hAnsi="Arial" w:cs="Arial"/>
          <w:b/>
          <w:bCs/>
          <w:sz w:val="22"/>
        </w:rPr>
        <w:t>FSC BANKING UNIT</w:t>
      </w:r>
      <w:r w:rsidRPr="00E3384B">
        <w:rPr>
          <w:rFonts w:ascii="Arial" w:hAnsi="Arial" w:cs="Arial"/>
          <w:b/>
          <w:bCs/>
          <w:sz w:val="22"/>
        </w:rPr>
        <w:t>, GIFT CITY FOR BULLION SALE OR PURCHASE ON IIBX</w:t>
      </w:r>
      <w:r w:rsidRPr="00E3384B">
        <w:rPr>
          <w:rFonts w:ascii="Arial" w:hAnsi="Arial" w:cs="Arial"/>
          <w:sz w:val="22"/>
        </w:rPr>
        <w:tab/>
      </w:r>
    </w:p>
    <w:p w14:paraId="635F7E3B" w14:textId="77777777" w:rsidR="00E3384B" w:rsidRPr="00E3384B" w:rsidRDefault="00E3384B" w:rsidP="00E3384B">
      <w:pPr>
        <w:pStyle w:val="NoSpacing"/>
        <w:rPr>
          <w:rFonts w:ascii="Arial" w:hAnsi="Arial" w:cs="Arial"/>
          <w:sz w:val="22"/>
        </w:rPr>
      </w:pPr>
      <w:r w:rsidRPr="00E3384B">
        <w:rPr>
          <w:rFonts w:ascii="Arial" w:hAnsi="Arial" w:cs="Arial"/>
          <w:sz w:val="22"/>
        </w:rPr>
        <w:t>The Deputy General Manager,</w:t>
      </w:r>
    </w:p>
    <w:p w14:paraId="617A9518" w14:textId="77777777" w:rsidR="00E3384B" w:rsidRPr="00E3384B" w:rsidRDefault="00E3384B" w:rsidP="00E3384B">
      <w:pPr>
        <w:pStyle w:val="NoSpacing"/>
        <w:rPr>
          <w:rFonts w:ascii="Arial" w:hAnsi="Arial" w:cs="Arial"/>
          <w:sz w:val="22"/>
        </w:rPr>
      </w:pPr>
      <w:r w:rsidRPr="00E3384B">
        <w:rPr>
          <w:rFonts w:ascii="Arial" w:hAnsi="Arial" w:cs="Arial"/>
          <w:sz w:val="22"/>
        </w:rPr>
        <w:t>State Bank of India,</w:t>
      </w:r>
    </w:p>
    <w:p w14:paraId="36B696A1" w14:textId="77777777" w:rsidR="00E3384B" w:rsidRPr="00E3384B" w:rsidRDefault="00E3384B" w:rsidP="00E3384B">
      <w:pPr>
        <w:pStyle w:val="NoSpacing"/>
        <w:rPr>
          <w:rFonts w:ascii="Arial" w:hAnsi="Arial" w:cs="Arial"/>
          <w:sz w:val="22"/>
        </w:rPr>
      </w:pPr>
      <w:r w:rsidRPr="00E3384B">
        <w:rPr>
          <w:rFonts w:ascii="Arial" w:hAnsi="Arial" w:cs="Arial"/>
          <w:sz w:val="22"/>
        </w:rPr>
        <w:t xml:space="preserve">IFSC Banking Unit, </w:t>
      </w:r>
    </w:p>
    <w:p w14:paraId="15BD8152" w14:textId="77777777" w:rsidR="00E3384B" w:rsidRPr="00E3384B" w:rsidRDefault="00E3384B" w:rsidP="00E3384B">
      <w:pPr>
        <w:pStyle w:val="NoSpacing"/>
        <w:rPr>
          <w:rFonts w:ascii="Arial" w:hAnsi="Arial" w:cs="Arial"/>
          <w:sz w:val="22"/>
        </w:rPr>
      </w:pPr>
      <w:r w:rsidRPr="00E3384B">
        <w:rPr>
          <w:rFonts w:ascii="Arial" w:hAnsi="Arial" w:cs="Arial"/>
          <w:sz w:val="22"/>
        </w:rPr>
        <w:t>1401,14TH Floor, Hiranandani Signature Tower,</w:t>
      </w:r>
    </w:p>
    <w:p w14:paraId="2216F0AC" w14:textId="77777777" w:rsidR="00E3384B" w:rsidRPr="00E3384B" w:rsidRDefault="00E3384B" w:rsidP="00E3384B">
      <w:pPr>
        <w:pStyle w:val="NoSpacing"/>
        <w:rPr>
          <w:rFonts w:ascii="Arial" w:hAnsi="Arial" w:cs="Arial"/>
          <w:sz w:val="22"/>
        </w:rPr>
      </w:pPr>
      <w:r w:rsidRPr="00E3384B">
        <w:rPr>
          <w:rFonts w:ascii="Arial" w:hAnsi="Arial" w:cs="Arial"/>
          <w:sz w:val="22"/>
        </w:rPr>
        <w:t>GIFT SEZ, GIFT City,</w:t>
      </w:r>
    </w:p>
    <w:p w14:paraId="651BADB4" w14:textId="77777777" w:rsidR="00E3384B" w:rsidRPr="00E3384B" w:rsidRDefault="00E3384B" w:rsidP="00E3384B">
      <w:pPr>
        <w:pStyle w:val="NoSpacing"/>
        <w:rPr>
          <w:rFonts w:ascii="Arial" w:hAnsi="Arial" w:cs="Arial"/>
          <w:sz w:val="22"/>
        </w:rPr>
      </w:pPr>
      <w:r w:rsidRPr="00E3384B">
        <w:rPr>
          <w:rFonts w:ascii="Arial" w:hAnsi="Arial" w:cs="Arial"/>
          <w:sz w:val="22"/>
        </w:rPr>
        <w:t>Gandhinagar- 382355, Gujarat.</w:t>
      </w:r>
    </w:p>
    <w:p w14:paraId="71E3CD92" w14:textId="77777777" w:rsidR="00E3384B" w:rsidRPr="00E3384B" w:rsidRDefault="00E3384B" w:rsidP="00E3384B">
      <w:pPr>
        <w:spacing w:line="276" w:lineRule="auto"/>
        <w:rPr>
          <w:rFonts w:ascii="Arial" w:hAnsi="Arial" w:cs="Arial"/>
          <w:sz w:val="22"/>
        </w:rPr>
      </w:pPr>
    </w:p>
    <w:p w14:paraId="4B524B8E" w14:textId="77777777" w:rsidR="00E3384B" w:rsidRPr="00E3384B" w:rsidRDefault="00E3384B" w:rsidP="00E3384B">
      <w:pPr>
        <w:spacing w:line="276" w:lineRule="auto"/>
        <w:rPr>
          <w:rFonts w:ascii="Arial" w:hAnsi="Arial" w:cs="Arial"/>
          <w:sz w:val="22"/>
        </w:rPr>
      </w:pPr>
      <w:r w:rsidRPr="00E3384B">
        <w:rPr>
          <w:rFonts w:ascii="Arial" w:hAnsi="Arial" w:cs="Arial"/>
          <w:sz w:val="22"/>
        </w:rPr>
        <w:t>In consideration of State Bank of India, IBU GIFT City (the "</w:t>
      </w:r>
      <w:r w:rsidRPr="00E3384B">
        <w:rPr>
          <w:rFonts w:ascii="Arial" w:hAnsi="Arial" w:cs="Arial"/>
          <w:b/>
          <w:sz w:val="22"/>
        </w:rPr>
        <w:t>Bank</w:t>
      </w:r>
      <w:r w:rsidRPr="00E3384B">
        <w:rPr>
          <w:rFonts w:ascii="Arial" w:hAnsi="Arial" w:cs="Arial"/>
          <w:sz w:val="22"/>
        </w:rPr>
        <w:t>") agreeing to act as Trading and Clearing Member on behalf of ______________________</w:t>
      </w:r>
      <w:proofErr w:type="gramStart"/>
      <w:r w:rsidRPr="00E3384B">
        <w:rPr>
          <w:rFonts w:ascii="Arial" w:hAnsi="Arial" w:cs="Arial"/>
          <w:sz w:val="22"/>
        </w:rPr>
        <w:t>_  and</w:t>
      </w:r>
      <w:proofErr w:type="gramEnd"/>
      <w:r w:rsidRPr="00E3384B">
        <w:rPr>
          <w:rFonts w:ascii="Arial" w:hAnsi="Arial" w:cs="Arial"/>
          <w:sz w:val="22"/>
        </w:rPr>
        <w:t xml:space="preserve"> to conclude deals over registered email and provide the related services to us (each and collectively the "</w:t>
      </w:r>
      <w:r w:rsidRPr="00E3384B">
        <w:rPr>
          <w:rFonts w:ascii="Arial" w:hAnsi="Arial" w:cs="Arial"/>
          <w:b/>
          <w:sz w:val="22"/>
        </w:rPr>
        <w:t>Client</w:t>
      </w:r>
      <w:r w:rsidRPr="00E3384B">
        <w:rPr>
          <w:rFonts w:ascii="Arial" w:hAnsi="Arial" w:cs="Arial"/>
          <w:sz w:val="22"/>
        </w:rPr>
        <w:t>"), the Client agrees to the following terms and conditions: -</w:t>
      </w:r>
    </w:p>
    <w:p w14:paraId="2F29679F" w14:textId="77777777" w:rsidR="00E3384B" w:rsidRPr="00E3384B" w:rsidRDefault="00E3384B" w:rsidP="00E3384B">
      <w:pPr>
        <w:spacing w:line="276" w:lineRule="auto"/>
        <w:rPr>
          <w:rFonts w:ascii="Arial" w:hAnsi="Arial" w:cs="Arial"/>
          <w:sz w:val="22"/>
        </w:rPr>
      </w:pPr>
    </w:p>
    <w:p w14:paraId="6278FADA"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1.</w:t>
      </w:r>
      <w:r w:rsidRPr="00E3384B">
        <w:rPr>
          <w:rFonts w:ascii="Arial" w:hAnsi="Arial" w:cs="Arial"/>
          <w:sz w:val="22"/>
        </w:rPr>
        <w:tab/>
      </w:r>
      <w:r w:rsidRPr="00E3384B">
        <w:rPr>
          <w:rFonts w:ascii="Arial" w:hAnsi="Arial" w:cs="Arial"/>
          <w:b/>
          <w:sz w:val="22"/>
          <w:u w:val="single"/>
        </w:rPr>
        <w:t>Definitions and Interpretation</w:t>
      </w:r>
    </w:p>
    <w:p w14:paraId="563C70F5" w14:textId="77777777" w:rsidR="00E3384B" w:rsidRPr="00E3384B" w:rsidRDefault="00E3384B" w:rsidP="00E3384B">
      <w:pPr>
        <w:spacing w:line="276" w:lineRule="auto"/>
        <w:rPr>
          <w:rFonts w:ascii="Arial" w:hAnsi="Arial" w:cs="Arial"/>
          <w:sz w:val="22"/>
        </w:rPr>
      </w:pPr>
    </w:p>
    <w:p w14:paraId="67C65931" w14:textId="77777777" w:rsidR="00E3384B" w:rsidRPr="00E3384B" w:rsidRDefault="00E3384B" w:rsidP="00E3384B">
      <w:pPr>
        <w:pStyle w:val="ListParagraph"/>
        <w:numPr>
          <w:ilvl w:val="1"/>
          <w:numId w:val="2"/>
        </w:numPr>
        <w:tabs>
          <w:tab w:val="left" w:pos="720"/>
        </w:tabs>
        <w:spacing w:after="0" w:line="276" w:lineRule="auto"/>
        <w:ind w:right="0"/>
        <w:rPr>
          <w:rFonts w:ascii="Arial" w:hAnsi="Arial" w:cs="Arial"/>
          <w:sz w:val="22"/>
        </w:rPr>
      </w:pPr>
      <w:r w:rsidRPr="00E3384B">
        <w:rPr>
          <w:rFonts w:ascii="Arial" w:hAnsi="Arial" w:cs="Arial"/>
          <w:sz w:val="22"/>
        </w:rPr>
        <w:t>In this agreement, the following expressions, unless the context requires otherwise, shall have the following meanings:</w:t>
      </w:r>
    </w:p>
    <w:p w14:paraId="3F58A61C" w14:textId="77777777" w:rsidR="00E3384B" w:rsidRPr="00E3384B" w:rsidRDefault="00E3384B" w:rsidP="00E3384B">
      <w:pPr>
        <w:pStyle w:val="ListParagraph"/>
        <w:tabs>
          <w:tab w:val="left" w:pos="720"/>
        </w:tabs>
        <w:spacing w:line="276" w:lineRule="auto"/>
        <w:rPr>
          <w:rFonts w:ascii="Arial" w:hAnsi="Arial" w:cs="Arial"/>
          <w:sz w:val="22"/>
        </w:rPr>
      </w:pPr>
    </w:p>
    <w:p w14:paraId="46E95CEF" w14:textId="77777777" w:rsidR="00E3384B" w:rsidRPr="00E3384B" w:rsidRDefault="00E3384B" w:rsidP="00E3384B">
      <w:pPr>
        <w:pStyle w:val="ListParagraph"/>
        <w:tabs>
          <w:tab w:val="left" w:pos="720"/>
        </w:tabs>
        <w:spacing w:line="276" w:lineRule="auto"/>
        <w:ind w:firstLine="0"/>
        <w:rPr>
          <w:rFonts w:ascii="Arial" w:hAnsi="Arial" w:cs="Arial"/>
          <w:sz w:val="22"/>
        </w:rPr>
      </w:pPr>
      <w:r w:rsidRPr="00E3384B">
        <w:rPr>
          <w:rFonts w:ascii="Arial" w:hAnsi="Arial" w:cs="Arial"/>
          <w:sz w:val="22"/>
        </w:rPr>
        <w:t>“</w:t>
      </w:r>
      <w:proofErr w:type="gramStart"/>
      <w:r w:rsidRPr="00E3384B">
        <w:rPr>
          <w:rFonts w:ascii="Arial" w:hAnsi="Arial" w:cs="Arial"/>
          <w:b/>
          <w:bCs/>
          <w:sz w:val="22"/>
        </w:rPr>
        <w:t>Exchange”</w:t>
      </w:r>
      <w:r w:rsidRPr="00E3384B">
        <w:rPr>
          <w:rFonts w:ascii="Arial" w:hAnsi="Arial" w:cs="Arial"/>
          <w:sz w:val="22"/>
        </w:rPr>
        <w:t xml:space="preserve">   </w:t>
      </w:r>
      <w:proofErr w:type="gramEnd"/>
      <w:r w:rsidRPr="00E3384B">
        <w:rPr>
          <w:rFonts w:ascii="Arial" w:hAnsi="Arial" w:cs="Arial"/>
          <w:sz w:val="22"/>
        </w:rPr>
        <w:t xml:space="preserve">                           Indian International Bullion Exchange IFSC Ltd (IIBX)</w:t>
      </w:r>
    </w:p>
    <w:p w14:paraId="019F11B9" w14:textId="77777777" w:rsidR="00E3384B" w:rsidRPr="00E3384B" w:rsidRDefault="00E3384B" w:rsidP="00E3384B">
      <w:pPr>
        <w:spacing w:line="276" w:lineRule="auto"/>
        <w:rPr>
          <w:rFonts w:ascii="Arial" w:hAnsi="Arial" w:cs="Arial"/>
          <w:sz w:val="22"/>
        </w:rPr>
      </w:pPr>
    </w:p>
    <w:p w14:paraId="4E7791F7" w14:textId="77777777" w:rsidR="00E3384B" w:rsidRPr="00E3384B" w:rsidRDefault="00E3384B" w:rsidP="00E3384B">
      <w:pPr>
        <w:tabs>
          <w:tab w:val="left" w:pos="720"/>
          <w:tab w:val="left" w:pos="2160"/>
          <w:tab w:val="left" w:pos="2880"/>
          <w:tab w:val="left" w:pos="3927"/>
        </w:tabs>
        <w:spacing w:line="276" w:lineRule="auto"/>
        <w:ind w:left="3927" w:hanging="3207"/>
        <w:rPr>
          <w:rFonts w:ascii="Arial" w:hAnsi="Arial" w:cs="Arial"/>
          <w:sz w:val="22"/>
        </w:rPr>
      </w:pPr>
      <w:r w:rsidRPr="00E3384B">
        <w:rPr>
          <w:rFonts w:ascii="Arial" w:hAnsi="Arial" w:cs="Arial"/>
          <w:sz w:val="22"/>
        </w:rPr>
        <w:t>“</w:t>
      </w:r>
      <w:r w:rsidRPr="00E3384B">
        <w:rPr>
          <w:rFonts w:ascii="Arial" w:hAnsi="Arial" w:cs="Arial"/>
          <w:b/>
          <w:sz w:val="22"/>
        </w:rPr>
        <w:t>Authorised Representative</w:t>
      </w:r>
      <w:r w:rsidRPr="00E3384B">
        <w:rPr>
          <w:rFonts w:ascii="Arial" w:hAnsi="Arial" w:cs="Arial"/>
          <w:sz w:val="22"/>
        </w:rPr>
        <w:t>” shall have the meaning ascribed to it in Paragraph 2.6.</w:t>
      </w:r>
    </w:p>
    <w:p w14:paraId="5C278D91" w14:textId="77777777" w:rsidR="00E3384B" w:rsidRPr="00E3384B" w:rsidRDefault="00E3384B" w:rsidP="00E3384B">
      <w:pPr>
        <w:tabs>
          <w:tab w:val="left" w:pos="720"/>
          <w:tab w:val="left" w:pos="2160"/>
          <w:tab w:val="left" w:pos="2880"/>
          <w:tab w:val="left" w:pos="3927"/>
          <w:tab w:val="left" w:pos="4320"/>
        </w:tabs>
        <w:spacing w:line="276" w:lineRule="auto"/>
        <w:ind w:left="3927" w:hanging="3207"/>
        <w:rPr>
          <w:rFonts w:ascii="Arial" w:hAnsi="Arial" w:cs="Arial"/>
          <w:sz w:val="22"/>
        </w:rPr>
      </w:pPr>
    </w:p>
    <w:p w14:paraId="746EDB00" w14:textId="77777777" w:rsidR="00E3384B" w:rsidRPr="00E3384B" w:rsidRDefault="00E3384B" w:rsidP="00E3384B">
      <w:pPr>
        <w:tabs>
          <w:tab w:val="left" w:pos="720"/>
          <w:tab w:val="left" w:pos="2160"/>
          <w:tab w:val="left" w:pos="2880"/>
          <w:tab w:val="left" w:pos="3927"/>
        </w:tabs>
        <w:spacing w:line="276" w:lineRule="auto"/>
        <w:ind w:left="3927" w:hanging="3207"/>
        <w:rPr>
          <w:rFonts w:ascii="Arial" w:hAnsi="Arial" w:cs="Arial"/>
          <w:sz w:val="22"/>
        </w:rPr>
      </w:pPr>
      <w:r w:rsidRPr="00E3384B">
        <w:rPr>
          <w:rFonts w:ascii="Arial" w:hAnsi="Arial" w:cs="Arial"/>
          <w:sz w:val="22"/>
        </w:rPr>
        <w:t>“</w:t>
      </w:r>
      <w:r w:rsidRPr="00E3384B">
        <w:rPr>
          <w:rFonts w:ascii="Arial" w:hAnsi="Arial" w:cs="Arial"/>
          <w:b/>
          <w:sz w:val="22"/>
        </w:rPr>
        <w:t>Business Day</w:t>
      </w:r>
      <w:r w:rsidRPr="00E3384B">
        <w:rPr>
          <w:rFonts w:ascii="Arial" w:hAnsi="Arial" w:cs="Arial"/>
          <w:sz w:val="22"/>
        </w:rPr>
        <w:t>”</w:t>
      </w:r>
      <w:r w:rsidRPr="00E3384B">
        <w:rPr>
          <w:rFonts w:ascii="Arial" w:hAnsi="Arial" w:cs="Arial"/>
          <w:sz w:val="22"/>
        </w:rPr>
        <w:tab/>
      </w:r>
      <w:r w:rsidRPr="00E3384B">
        <w:rPr>
          <w:rFonts w:ascii="Arial" w:hAnsi="Arial" w:cs="Arial"/>
          <w:sz w:val="22"/>
        </w:rPr>
        <w:tab/>
        <w:t xml:space="preserve">means a day (other than Saturday, Sunday and public holiday) on which the Bank is open. </w:t>
      </w:r>
    </w:p>
    <w:p w14:paraId="5BD47B58" w14:textId="77777777" w:rsidR="00E3384B" w:rsidRPr="00E3384B" w:rsidRDefault="00E3384B" w:rsidP="00E3384B">
      <w:pPr>
        <w:tabs>
          <w:tab w:val="left" w:pos="720"/>
          <w:tab w:val="left" w:pos="2160"/>
          <w:tab w:val="left" w:pos="2880"/>
          <w:tab w:val="left" w:pos="3927"/>
          <w:tab w:val="left" w:pos="4320"/>
        </w:tabs>
        <w:spacing w:line="276" w:lineRule="auto"/>
        <w:ind w:left="3927" w:hanging="3207"/>
        <w:rPr>
          <w:rFonts w:ascii="Arial" w:hAnsi="Arial" w:cs="Arial"/>
          <w:b/>
          <w:sz w:val="22"/>
        </w:rPr>
      </w:pPr>
    </w:p>
    <w:p w14:paraId="018CD1FD" w14:textId="77777777" w:rsidR="00E3384B" w:rsidRPr="00E3384B" w:rsidRDefault="00E3384B" w:rsidP="00E3384B">
      <w:pPr>
        <w:tabs>
          <w:tab w:val="left" w:pos="720"/>
          <w:tab w:val="left" w:pos="2160"/>
          <w:tab w:val="left" w:pos="2880"/>
          <w:tab w:val="left" w:pos="3927"/>
        </w:tabs>
        <w:spacing w:line="276" w:lineRule="auto"/>
        <w:ind w:left="3927" w:hanging="3207"/>
        <w:rPr>
          <w:rFonts w:ascii="Arial" w:hAnsi="Arial" w:cs="Arial"/>
          <w:sz w:val="22"/>
        </w:rPr>
      </w:pPr>
      <w:r w:rsidRPr="00E3384B">
        <w:rPr>
          <w:rFonts w:ascii="Arial" w:hAnsi="Arial" w:cs="Arial"/>
          <w:sz w:val="22"/>
        </w:rPr>
        <w:t>“</w:t>
      </w:r>
      <w:r w:rsidRPr="00E3384B">
        <w:rPr>
          <w:rFonts w:ascii="Arial" w:hAnsi="Arial" w:cs="Arial"/>
          <w:b/>
          <w:sz w:val="22"/>
        </w:rPr>
        <w:t>Currency</w:t>
      </w:r>
      <w:r w:rsidRPr="00E3384B">
        <w:rPr>
          <w:rFonts w:ascii="Arial" w:hAnsi="Arial" w:cs="Arial"/>
          <w:sz w:val="22"/>
        </w:rPr>
        <w:t>”</w:t>
      </w:r>
      <w:r w:rsidRPr="00E3384B">
        <w:rPr>
          <w:rFonts w:ascii="Arial" w:hAnsi="Arial" w:cs="Arial"/>
          <w:sz w:val="22"/>
        </w:rPr>
        <w:tab/>
      </w:r>
      <w:r w:rsidRPr="00E3384B">
        <w:rPr>
          <w:rFonts w:ascii="Arial" w:hAnsi="Arial" w:cs="Arial"/>
          <w:sz w:val="22"/>
        </w:rPr>
        <w:tab/>
      </w:r>
      <w:r w:rsidRPr="00E3384B">
        <w:rPr>
          <w:rFonts w:ascii="Arial" w:hAnsi="Arial" w:cs="Arial"/>
          <w:sz w:val="22"/>
        </w:rPr>
        <w:tab/>
        <w:t>means the lawful currency of a country or jurisdiction which shall be valued using the exchange rate of such currency with such other currency as may be selected by the Bank in relation thereto.</w:t>
      </w:r>
    </w:p>
    <w:p w14:paraId="1260836C" w14:textId="77777777" w:rsidR="00E3384B" w:rsidRPr="00E3384B" w:rsidRDefault="00E3384B" w:rsidP="00E3384B">
      <w:pPr>
        <w:tabs>
          <w:tab w:val="left" w:pos="720"/>
          <w:tab w:val="left" w:pos="2160"/>
          <w:tab w:val="left" w:pos="2880"/>
          <w:tab w:val="left" w:pos="3927"/>
        </w:tabs>
        <w:spacing w:line="276" w:lineRule="auto"/>
        <w:ind w:left="3927" w:hanging="3207"/>
        <w:rPr>
          <w:rFonts w:ascii="Arial" w:hAnsi="Arial" w:cs="Arial"/>
          <w:sz w:val="22"/>
        </w:rPr>
      </w:pPr>
    </w:p>
    <w:p w14:paraId="1B9E75AB" w14:textId="77777777" w:rsidR="00E3384B" w:rsidRPr="00E3384B" w:rsidRDefault="00E3384B" w:rsidP="00E3384B">
      <w:pPr>
        <w:tabs>
          <w:tab w:val="left" w:pos="720"/>
          <w:tab w:val="left" w:pos="2160"/>
          <w:tab w:val="left" w:pos="2880"/>
          <w:tab w:val="left" w:pos="3927"/>
        </w:tabs>
        <w:spacing w:line="276" w:lineRule="auto"/>
        <w:ind w:left="3927" w:hanging="3207"/>
        <w:rPr>
          <w:rFonts w:ascii="Arial" w:hAnsi="Arial" w:cs="Arial"/>
          <w:sz w:val="22"/>
        </w:rPr>
      </w:pPr>
      <w:r w:rsidRPr="00E3384B">
        <w:rPr>
          <w:rFonts w:ascii="Arial" w:hAnsi="Arial" w:cs="Arial"/>
          <w:sz w:val="22"/>
        </w:rPr>
        <w:t>“</w:t>
      </w:r>
      <w:r w:rsidRPr="00E3384B">
        <w:rPr>
          <w:rFonts w:ascii="Arial" w:hAnsi="Arial" w:cs="Arial"/>
          <w:b/>
          <w:sz w:val="22"/>
        </w:rPr>
        <w:t>Transaction</w:t>
      </w:r>
      <w:r w:rsidRPr="00E3384B">
        <w:rPr>
          <w:rFonts w:ascii="Arial" w:hAnsi="Arial" w:cs="Arial"/>
          <w:sz w:val="22"/>
        </w:rPr>
        <w:t>”</w:t>
      </w:r>
      <w:r w:rsidRPr="00E3384B">
        <w:rPr>
          <w:rFonts w:ascii="Arial" w:hAnsi="Arial" w:cs="Arial"/>
          <w:sz w:val="22"/>
        </w:rPr>
        <w:tab/>
      </w:r>
      <w:r w:rsidRPr="00E3384B">
        <w:rPr>
          <w:rFonts w:ascii="Arial" w:hAnsi="Arial" w:cs="Arial"/>
          <w:sz w:val="22"/>
        </w:rPr>
        <w:tab/>
        <w:t>means the sale and purchase of Bullion of such type and amount, at such exchange rate, with such value date and on such other terms as may be instructed by client to the bank.</w:t>
      </w:r>
    </w:p>
    <w:p w14:paraId="2914DF47"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1.2</w:t>
      </w:r>
      <w:r w:rsidRPr="00E3384B">
        <w:rPr>
          <w:rFonts w:ascii="Arial" w:hAnsi="Arial" w:cs="Arial"/>
          <w:sz w:val="22"/>
        </w:rPr>
        <w:tab/>
        <w:t>References to Paragraphs, unless otherwise stated, are to paragraphs of this agreement.</w:t>
      </w:r>
    </w:p>
    <w:p w14:paraId="20C660D4"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1.3</w:t>
      </w:r>
      <w:r w:rsidRPr="00E3384B">
        <w:rPr>
          <w:rFonts w:ascii="Arial" w:hAnsi="Arial" w:cs="Arial"/>
          <w:sz w:val="22"/>
        </w:rPr>
        <w:tab/>
        <w:t>The headings to the Paragraphs are for easy of reference only and shall be ignored in interpreting the provisions hereof.</w:t>
      </w:r>
    </w:p>
    <w:p w14:paraId="757D5F6B"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lastRenderedPageBreak/>
        <w:t>1.4</w:t>
      </w:r>
      <w:r w:rsidRPr="00E3384B">
        <w:rPr>
          <w:rFonts w:ascii="Arial" w:hAnsi="Arial" w:cs="Arial"/>
          <w:sz w:val="22"/>
        </w:rPr>
        <w:tab/>
        <w:t>Words importing the singular include the plural and vice versa and words importing a gender include the other gender.</w:t>
      </w:r>
    </w:p>
    <w:p w14:paraId="65C28F7B"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w:t>
      </w:r>
      <w:r w:rsidRPr="00E3384B">
        <w:rPr>
          <w:rFonts w:ascii="Arial" w:hAnsi="Arial" w:cs="Arial"/>
          <w:sz w:val="22"/>
        </w:rPr>
        <w:tab/>
      </w:r>
      <w:r w:rsidRPr="00E3384B">
        <w:rPr>
          <w:rFonts w:ascii="Arial" w:hAnsi="Arial" w:cs="Arial"/>
          <w:b/>
          <w:sz w:val="22"/>
          <w:u w:val="single"/>
        </w:rPr>
        <w:t>Transactions</w:t>
      </w:r>
    </w:p>
    <w:p w14:paraId="740750CD"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2.1</w:t>
      </w:r>
      <w:r w:rsidRPr="00E3384B">
        <w:rPr>
          <w:rFonts w:ascii="Arial" w:hAnsi="Arial" w:cs="Arial"/>
          <w:sz w:val="22"/>
        </w:rPr>
        <w:tab/>
        <w:t xml:space="preserve">The Bank may from time to time at the Client's request carry out the Trading and Clearing Function on India International Bullion Exchange IFSC Ltd (IIBX). </w:t>
      </w:r>
    </w:p>
    <w:p w14:paraId="57B3B09F"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2.2</w:t>
      </w:r>
      <w:r w:rsidRPr="00E3384B">
        <w:rPr>
          <w:rFonts w:ascii="Arial" w:hAnsi="Arial" w:cs="Arial"/>
          <w:sz w:val="22"/>
        </w:rPr>
        <w:tab/>
        <w:t xml:space="preserve">The Client may request the Bank to </w:t>
      </w:r>
      <w:proofErr w:type="gramStart"/>
      <w:r w:rsidRPr="00E3384B">
        <w:rPr>
          <w:rFonts w:ascii="Arial" w:hAnsi="Arial" w:cs="Arial"/>
          <w:sz w:val="22"/>
        </w:rPr>
        <w:t>enter into</w:t>
      </w:r>
      <w:proofErr w:type="gramEnd"/>
      <w:r w:rsidRPr="00E3384B">
        <w:rPr>
          <w:rFonts w:ascii="Arial" w:hAnsi="Arial" w:cs="Arial"/>
          <w:sz w:val="22"/>
        </w:rPr>
        <w:t xml:space="preserve"> any Transaction between 9:00 a.m. and 9:30 p.m. on Monday to Friday (except non-Business Days) for Bullion buy/sell transactions having regard to prevailing market practice and conditions in one of the following manners:</w:t>
      </w:r>
    </w:p>
    <w:p w14:paraId="238BB02F" w14:textId="77777777" w:rsidR="00E3384B" w:rsidRPr="00E3384B" w:rsidRDefault="00E3384B" w:rsidP="00E3384B">
      <w:pPr>
        <w:tabs>
          <w:tab w:val="left" w:pos="720"/>
          <w:tab w:val="left" w:pos="2160"/>
        </w:tabs>
        <w:spacing w:line="276" w:lineRule="auto"/>
        <w:ind w:left="1440" w:hanging="1440"/>
        <w:rPr>
          <w:rFonts w:ascii="Arial" w:hAnsi="Arial" w:cs="Arial"/>
          <w:sz w:val="22"/>
        </w:rPr>
      </w:pPr>
      <w:r w:rsidRPr="00E3384B">
        <w:rPr>
          <w:rFonts w:ascii="Arial" w:hAnsi="Arial" w:cs="Arial"/>
          <w:sz w:val="22"/>
        </w:rPr>
        <w:tab/>
        <w:t>(a)</w:t>
      </w:r>
      <w:r w:rsidRPr="00E3384B">
        <w:rPr>
          <w:rFonts w:ascii="Arial" w:hAnsi="Arial" w:cs="Arial"/>
          <w:sz w:val="22"/>
        </w:rPr>
        <w:tab/>
        <w:t xml:space="preserve">by written instructions received by the Bank in original at such place and by such of its officers as may be designated by the Bank from time to time. </w:t>
      </w:r>
    </w:p>
    <w:p w14:paraId="40F2CE8B" w14:textId="77777777" w:rsidR="00E3384B" w:rsidRPr="00E3384B" w:rsidRDefault="00E3384B" w:rsidP="00E3384B">
      <w:pPr>
        <w:tabs>
          <w:tab w:val="left" w:pos="720"/>
          <w:tab w:val="left" w:pos="2160"/>
        </w:tabs>
        <w:spacing w:line="276" w:lineRule="auto"/>
        <w:ind w:left="1440" w:hanging="1440"/>
        <w:rPr>
          <w:rFonts w:ascii="Arial" w:hAnsi="Arial" w:cs="Arial"/>
          <w:sz w:val="22"/>
        </w:rPr>
      </w:pPr>
      <w:r w:rsidRPr="00E3384B">
        <w:rPr>
          <w:rFonts w:ascii="Arial" w:hAnsi="Arial" w:cs="Arial"/>
          <w:sz w:val="22"/>
        </w:rPr>
        <w:tab/>
        <w:t>(b)</w:t>
      </w:r>
      <w:r w:rsidRPr="00E3384B">
        <w:rPr>
          <w:rFonts w:ascii="Arial" w:hAnsi="Arial" w:cs="Arial"/>
          <w:sz w:val="22"/>
        </w:rPr>
        <w:tab/>
        <w:t xml:space="preserve">by instructions received by the Bank from client registered email id and received by the bank on such email id as the Bank determines from time to time. </w:t>
      </w:r>
    </w:p>
    <w:p w14:paraId="3DEA91AC"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2.3</w:t>
      </w:r>
      <w:r w:rsidRPr="00E3384B">
        <w:rPr>
          <w:rFonts w:ascii="Arial" w:hAnsi="Arial" w:cs="Arial"/>
          <w:sz w:val="22"/>
        </w:rPr>
        <w:tab/>
        <w:t>The hours specified in Paragraph 2.2 may from time to time be changed by the Bank at its sole discretion.</w:t>
      </w:r>
    </w:p>
    <w:p w14:paraId="6AE351E4"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2.4</w:t>
      </w:r>
      <w:r w:rsidRPr="00E3384B">
        <w:rPr>
          <w:rFonts w:ascii="Arial" w:hAnsi="Arial" w:cs="Arial"/>
          <w:sz w:val="22"/>
        </w:rPr>
        <w:tab/>
        <w:t>The Bank shall not be liable for any losses, damages, costs or claims of any nature whatsoever and however arising under or in connection with this agreement or resulting from failure or delay in the execution of any instruction (including standing instruction), breakdown or failure of any communications system or any cause beyond the control or anticipation of the Bank.</w:t>
      </w:r>
    </w:p>
    <w:p w14:paraId="2DC992F0"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2.5</w:t>
      </w:r>
      <w:r w:rsidRPr="00E3384B">
        <w:rPr>
          <w:rFonts w:ascii="Arial" w:hAnsi="Arial" w:cs="Arial"/>
          <w:sz w:val="22"/>
        </w:rPr>
        <w:tab/>
        <w:t>Except expressly provided for under this agreement, the Client understands that none of the Bank's directors, officers, employees or authorised agents or representatives will accept appointment by the Client as agent to enter into any Transaction unless a separate agreement for discretionary account services is entered into with the Bank for such purpose.</w:t>
      </w:r>
    </w:p>
    <w:p w14:paraId="2916C573"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2.6</w:t>
      </w:r>
      <w:r w:rsidRPr="00E3384B">
        <w:rPr>
          <w:rFonts w:ascii="Arial" w:hAnsi="Arial" w:cs="Arial"/>
          <w:sz w:val="22"/>
        </w:rPr>
        <w:tab/>
        <w:t>‘Authorised Representatives’ shall be the persons identified and authorised by the Client from time to time in writing, whose names are advised to the Bank and accepted by the Bank. The Client agrees that only the Authorised Representatives shall be entitled to give instructions to the Bank for transactions. Where Client is an individual or Partnership firm, all the individuals who are the joint account holders and all the partners of the firm, in case of Partnership firm as Client shall be bound jointly and severally by the acts of and instructions of the Authorised Representative(s). [If the Client is a company within the meaning of the Companies Act,2013, the Company as a client shall be bound by the acts of and/or instructions of the Authorised Representative.]</w:t>
      </w:r>
      <w:r w:rsidRPr="00E3384B">
        <w:rPr>
          <w:rFonts w:ascii="Arial" w:hAnsi="Arial" w:cs="Arial"/>
          <w:sz w:val="22"/>
        </w:rPr>
        <w:tab/>
      </w:r>
    </w:p>
    <w:p w14:paraId="69A19275"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2.7</w:t>
      </w:r>
      <w:r w:rsidRPr="00E3384B">
        <w:rPr>
          <w:rFonts w:ascii="Arial" w:hAnsi="Arial" w:cs="Arial"/>
          <w:sz w:val="22"/>
        </w:rPr>
        <w:tab/>
        <w:t xml:space="preserve">The client hereby specifically agrees that the Bank shall be entitled to act on instructions given by the client or his authorised representative until any instructions given in writing to the Bank by the client regarding change in the name(s) of the authorised representative or cancellation or withdrawal of the authority given by the client, are received by the Bank and acknowledged to the client. </w:t>
      </w:r>
    </w:p>
    <w:p w14:paraId="767C8FDB"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lastRenderedPageBreak/>
        <w:t>2.8</w:t>
      </w:r>
      <w:r w:rsidRPr="00E3384B">
        <w:rPr>
          <w:rFonts w:ascii="Arial" w:hAnsi="Arial" w:cs="Arial"/>
          <w:sz w:val="22"/>
        </w:rPr>
        <w:tab/>
        <w:t>All instructions given in writing or transmitted by email must bear signature(s) which, in the Bank’s sole opinion, correspond to the specimen signature(s) of the Client and/or the Authorised Representative(s) as provided to the Bank.</w:t>
      </w:r>
    </w:p>
    <w:p w14:paraId="23A7C058"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2.9</w:t>
      </w:r>
      <w:r w:rsidRPr="00E3384B">
        <w:rPr>
          <w:rFonts w:ascii="Arial" w:hAnsi="Arial" w:cs="Arial"/>
          <w:sz w:val="22"/>
        </w:rPr>
        <w:tab/>
        <w:t>Where the Client and/or the Authorised Representative(s) consist of more than one person, instructions through electronic mail (where specifically authorised by the Client in writing and agreed by the Bank) from any one of such persons may be accepted and acted upon by the Bank.</w:t>
      </w:r>
    </w:p>
    <w:p w14:paraId="758AA624"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2.10</w:t>
      </w:r>
      <w:r w:rsidRPr="00E3384B">
        <w:rPr>
          <w:rFonts w:ascii="Arial" w:hAnsi="Arial" w:cs="Arial"/>
          <w:sz w:val="22"/>
        </w:rPr>
        <w:tab/>
        <w:t>The Bank may treat all instructions given as fully authorised and binding on the Client regardless of the circumstances prevailing at the time of the instructions being given or the nature or amount of the transaction and notwithstanding any error, misunderstanding, lack of clarity, errors in transmission, fraud, forgery or lack of authority in relation to the instructions except in the case of gross negligence, wilful misconduct or fraud on the part of the Bank while acting on such instructions.  The Client agrees that the Client is under an express duty to the Bank to prevent any fraudulent, forged or unauthorised instructions being given.</w:t>
      </w:r>
    </w:p>
    <w:p w14:paraId="6314996E"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2.11</w:t>
      </w:r>
      <w:r w:rsidRPr="00E3384B">
        <w:rPr>
          <w:rFonts w:ascii="Arial" w:hAnsi="Arial" w:cs="Arial"/>
          <w:sz w:val="22"/>
        </w:rPr>
        <w:tab/>
        <w:t>The Client agrees irrevocably to indemnify the Bank and hereby keeps the Bank indemnified from and against all claims, damages, losses, expenses, charges which the Bank may suffer or incur as a result of the Bank agreeing to act or acting on the clients instructions and executing or carrying out the transactions as instructed by the client or his authorised representative(s), regardless of circumstances prevailing at the time of receipt of instructions including any error, misunderstanding, fraud, or misrepresentation or lack of authority except in cases wherein gross negligence, wilful misconduct or fraud can be attributed to the employees of the Bank. The indemnity as contained hereinabove shall also extend to all cases where the Bank is unable to carry out the transactions as per instructions of the client or his authorised representative(s) for reasons beyond the control of the Bank.</w:t>
      </w:r>
    </w:p>
    <w:p w14:paraId="284EEF99" w14:textId="77777777" w:rsidR="00E3384B" w:rsidRPr="00E3384B" w:rsidRDefault="00E3384B" w:rsidP="00E3384B">
      <w:pPr>
        <w:tabs>
          <w:tab w:val="left" w:pos="720"/>
          <w:tab w:val="left" w:pos="2365"/>
        </w:tabs>
        <w:spacing w:line="276" w:lineRule="auto"/>
        <w:ind w:left="720" w:hanging="720"/>
        <w:rPr>
          <w:rFonts w:ascii="Arial" w:hAnsi="Arial" w:cs="Arial"/>
          <w:sz w:val="22"/>
        </w:rPr>
      </w:pPr>
      <w:r w:rsidRPr="00E3384B">
        <w:rPr>
          <w:rFonts w:ascii="Arial" w:hAnsi="Arial" w:cs="Arial"/>
          <w:sz w:val="22"/>
        </w:rPr>
        <w:t>2.12</w:t>
      </w:r>
      <w:r w:rsidRPr="00E3384B">
        <w:rPr>
          <w:rFonts w:ascii="Arial" w:hAnsi="Arial" w:cs="Arial"/>
          <w:sz w:val="22"/>
        </w:rPr>
        <w:tab/>
        <w:t>The client confirms that all the transactions that are done from time to time by the Bank and are strictly in accordance with RBI/IFSCA guidelines.</w:t>
      </w:r>
    </w:p>
    <w:p w14:paraId="774A83DD"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3</w:t>
      </w:r>
      <w:r w:rsidRPr="00E3384B">
        <w:rPr>
          <w:rFonts w:ascii="Arial" w:hAnsi="Arial" w:cs="Arial"/>
          <w:sz w:val="22"/>
        </w:rPr>
        <w:tab/>
      </w:r>
      <w:r w:rsidRPr="00E3384B">
        <w:rPr>
          <w:rFonts w:ascii="Arial" w:hAnsi="Arial" w:cs="Arial"/>
          <w:b/>
          <w:sz w:val="22"/>
          <w:u w:val="single"/>
        </w:rPr>
        <w:t>Bullion Purchase Information</w:t>
      </w:r>
    </w:p>
    <w:p w14:paraId="00B1B9D6"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 xml:space="preserve">           The Client fully understands that any Transaction effected by the Client shall be made solely upon exercise of its own judgment and at its own discretion notwithstanding any information, suggestion or documents the Bank may have provided to the Client.</w:t>
      </w:r>
    </w:p>
    <w:p w14:paraId="3D3306A8"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4.</w:t>
      </w:r>
      <w:r w:rsidRPr="00E3384B">
        <w:rPr>
          <w:rFonts w:ascii="Arial" w:hAnsi="Arial" w:cs="Arial"/>
          <w:sz w:val="22"/>
        </w:rPr>
        <w:tab/>
      </w:r>
      <w:r w:rsidRPr="00E3384B">
        <w:rPr>
          <w:rFonts w:ascii="Arial" w:hAnsi="Arial" w:cs="Arial"/>
          <w:b/>
          <w:sz w:val="22"/>
          <w:u w:val="single"/>
        </w:rPr>
        <w:t>Undertakings</w:t>
      </w:r>
    </w:p>
    <w:p w14:paraId="6993328C" w14:textId="77777777" w:rsidR="00E3384B" w:rsidRPr="00E3384B" w:rsidRDefault="00E3384B" w:rsidP="00E3384B">
      <w:pPr>
        <w:spacing w:line="276" w:lineRule="auto"/>
        <w:ind w:left="720" w:hanging="720"/>
        <w:rPr>
          <w:rFonts w:ascii="Arial" w:hAnsi="Arial" w:cs="Arial"/>
          <w:sz w:val="22"/>
        </w:rPr>
      </w:pPr>
      <w:r w:rsidRPr="00E3384B">
        <w:rPr>
          <w:rFonts w:ascii="Arial" w:hAnsi="Arial" w:cs="Arial"/>
          <w:sz w:val="22"/>
        </w:rPr>
        <w:t xml:space="preserve">           The Bank will notify the Client in the event of any material change to the information provided by the Bank under this agreement including any change to the Bank’s name and address and business which may affect the services for the time being it provides to the Client hereunder.  The Client will promptly notify the Bank in the event of any material change to the personal information or circumstances or any other relevant information it provided or is required to provide to the Bank.</w:t>
      </w:r>
    </w:p>
    <w:p w14:paraId="4F071028"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5.</w:t>
      </w:r>
      <w:r w:rsidRPr="00E3384B">
        <w:rPr>
          <w:rFonts w:ascii="Arial" w:hAnsi="Arial" w:cs="Arial"/>
          <w:sz w:val="22"/>
        </w:rPr>
        <w:tab/>
      </w:r>
      <w:r w:rsidRPr="00E3384B">
        <w:rPr>
          <w:rFonts w:ascii="Arial" w:hAnsi="Arial" w:cs="Arial"/>
          <w:b/>
          <w:sz w:val="22"/>
          <w:u w:val="single"/>
        </w:rPr>
        <w:t>Amendment</w:t>
      </w:r>
    </w:p>
    <w:p w14:paraId="5D03AC91" w14:textId="77777777" w:rsidR="00E3384B" w:rsidRPr="00E3384B" w:rsidRDefault="00E3384B" w:rsidP="00E3384B">
      <w:pPr>
        <w:spacing w:line="276" w:lineRule="auto"/>
        <w:ind w:left="720"/>
        <w:rPr>
          <w:rFonts w:ascii="Arial" w:hAnsi="Arial" w:cs="Arial"/>
          <w:sz w:val="22"/>
        </w:rPr>
      </w:pPr>
      <w:r w:rsidRPr="00E3384B">
        <w:rPr>
          <w:rFonts w:ascii="Arial" w:hAnsi="Arial" w:cs="Arial"/>
          <w:sz w:val="22"/>
        </w:rPr>
        <w:t xml:space="preserve">The Bank shall be entitled to add, amend or delete any of the terms of the agreement at any time by giving prior notice to the Client. </w:t>
      </w:r>
    </w:p>
    <w:p w14:paraId="71000EF0"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lastRenderedPageBreak/>
        <w:t>6.</w:t>
      </w:r>
      <w:r w:rsidRPr="00E3384B">
        <w:rPr>
          <w:rFonts w:ascii="Arial" w:hAnsi="Arial" w:cs="Arial"/>
          <w:sz w:val="22"/>
        </w:rPr>
        <w:tab/>
      </w:r>
      <w:r w:rsidRPr="00E3384B">
        <w:rPr>
          <w:rFonts w:ascii="Arial" w:hAnsi="Arial" w:cs="Arial"/>
          <w:b/>
          <w:sz w:val="22"/>
          <w:u w:val="single"/>
        </w:rPr>
        <w:t>Notice</w:t>
      </w:r>
    </w:p>
    <w:p w14:paraId="2A4A0C58" w14:textId="77777777" w:rsidR="00E3384B" w:rsidRPr="00E3384B" w:rsidRDefault="00E3384B" w:rsidP="00E3384B">
      <w:pPr>
        <w:tabs>
          <w:tab w:val="left" w:pos="720"/>
        </w:tabs>
        <w:spacing w:line="276" w:lineRule="auto"/>
        <w:ind w:left="709" w:firstLine="11"/>
        <w:rPr>
          <w:rFonts w:ascii="Arial" w:hAnsi="Arial" w:cs="Arial"/>
          <w:sz w:val="22"/>
        </w:rPr>
      </w:pPr>
      <w:r w:rsidRPr="00E3384B">
        <w:rPr>
          <w:rFonts w:ascii="Arial" w:hAnsi="Arial" w:cs="Arial"/>
          <w:sz w:val="22"/>
        </w:rPr>
        <w:t>Any notice or other communication to be given or made pursuant to this agreement shall be in writing and may be made by personal delivery, prepaid post (airmail if overseas) or email and shall be deemed to have been duly served. Any such notice or communication shall be sent to the addressee at the address and email id stated in the Application or such other address or email id notified by such addressee to the other from time to time for the purpose of this Paragraph.</w:t>
      </w:r>
    </w:p>
    <w:p w14:paraId="75C848E2"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7.</w:t>
      </w:r>
      <w:r w:rsidRPr="00E3384B">
        <w:rPr>
          <w:rFonts w:ascii="Arial" w:hAnsi="Arial" w:cs="Arial"/>
          <w:sz w:val="22"/>
        </w:rPr>
        <w:tab/>
      </w:r>
      <w:r w:rsidRPr="00E3384B">
        <w:rPr>
          <w:rFonts w:ascii="Arial" w:hAnsi="Arial" w:cs="Arial"/>
          <w:b/>
          <w:sz w:val="22"/>
          <w:u w:val="single"/>
        </w:rPr>
        <w:t>Governing Law</w:t>
      </w:r>
    </w:p>
    <w:p w14:paraId="1FA0F9CB"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7.1</w:t>
      </w:r>
      <w:r w:rsidRPr="00E3384B">
        <w:rPr>
          <w:rFonts w:ascii="Arial" w:hAnsi="Arial" w:cs="Arial"/>
          <w:sz w:val="22"/>
        </w:rPr>
        <w:tab/>
        <w:t>This agreement and all rights, obligations and liabilities under it shall be governed by and construed in accordance with Indian law.</w:t>
      </w:r>
    </w:p>
    <w:p w14:paraId="7D9BA59A"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7.2</w:t>
      </w:r>
      <w:r w:rsidRPr="00E3384B">
        <w:rPr>
          <w:rFonts w:ascii="Arial" w:hAnsi="Arial" w:cs="Arial"/>
          <w:sz w:val="22"/>
        </w:rPr>
        <w:tab/>
        <w:t xml:space="preserve">Any Transaction shall be subject to any laws and regulations, policies, market practices and customs of the country of, and the principal financial centre for, the relevant Bullion affecting any dealing in such Bullion.  </w:t>
      </w:r>
    </w:p>
    <w:p w14:paraId="572D0260"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7.3</w:t>
      </w:r>
      <w:r w:rsidRPr="00E3384B">
        <w:rPr>
          <w:rFonts w:ascii="Arial" w:hAnsi="Arial" w:cs="Arial"/>
          <w:sz w:val="22"/>
        </w:rPr>
        <w:tab/>
        <w:t>The Client hereby submits to the non-exclusive jurisdiction of Indian courts in the event of any dispute arising.  Such submission shall not prejudice the Bank's right to commence action against the Client in any other court of competent jurisdiction.</w:t>
      </w:r>
    </w:p>
    <w:p w14:paraId="74C0F969"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 xml:space="preserve">8. </w:t>
      </w:r>
      <w:r w:rsidRPr="00E3384B">
        <w:rPr>
          <w:rFonts w:ascii="Arial" w:hAnsi="Arial" w:cs="Arial"/>
          <w:sz w:val="22"/>
        </w:rPr>
        <w:tab/>
      </w:r>
      <w:r w:rsidRPr="00E3384B">
        <w:rPr>
          <w:rFonts w:ascii="Arial" w:hAnsi="Arial" w:cs="Arial"/>
          <w:b/>
          <w:sz w:val="22"/>
          <w:u w:val="single"/>
        </w:rPr>
        <w:t>Termination</w:t>
      </w:r>
    </w:p>
    <w:p w14:paraId="2A2D1780" w14:textId="77777777" w:rsidR="00E3384B" w:rsidRPr="00E3384B" w:rsidRDefault="00E3384B" w:rsidP="00E3384B">
      <w:pPr>
        <w:tabs>
          <w:tab w:val="left" w:pos="720"/>
        </w:tabs>
        <w:spacing w:line="276" w:lineRule="auto"/>
        <w:ind w:left="720" w:hanging="720"/>
        <w:rPr>
          <w:rFonts w:ascii="Arial" w:hAnsi="Arial" w:cs="Arial"/>
          <w:sz w:val="22"/>
        </w:rPr>
      </w:pPr>
      <w:r w:rsidRPr="00E3384B">
        <w:rPr>
          <w:rFonts w:ascii="Arial" w:hAnsi="Arial" w:cs="Arial"/>
          <w:sz w:val="22"/>
        </w:rPr>
        <w:tab/>
        <w:t>This agreement is terminable by either of the parties by giving 30 days’ notice at the address mentioned in application in writing.</w:t>
      </w:r>
    </w:p>
    <w:p w14:paraId="1EEB41C6" w14:textId="77777777" w:rsidR="00E3384B" w:rsidRPr="00E3384B" w:rsidRDefault="00E3384B" w:rsidP="00E3384B">
      <w:pPr>
        <w:keepNext/>
        <w:keepLines/>
        <w:tabs>
          <w:tab w:val="left" w:pos="720"/>
        </w:tabs>
        <w:spacing w:line="276" w:lineRule="auto"/>
        <w:ind w:left="720" w:hanging="720"/>
        <w:rPr>
          <w:rFonts w:ascii="Arial" w:hAnsi="Arial" w:cs="Arial"/>
          <w:sz w:val="22"/>
          <w:vertAlign w:val="subscript"/>
        </w:rPr>
      </w:pPr>
      <w:r w:rsidRPr="00E3384B">
        <w:rPr>
          <w:rFonts w:ascii="Arial" w:hAnsi="Arial" w:cs="Arial"/>
          <w:sz w:val="22"/>
        </w:rPr>
        <w:t>9.</w:t>
      </w:r>
      <w:r w:rsidRPr="00E3384B">
        <w:rPr>
          <w:rFonts w:ascii="Arial" w:hAnsi="Arial" w:cs="Arial"/>
          <w:sz w:val="22"/>
        </w:rPr>
        <w:tab/>
      </w:r>
      <w:r w:rsidRPr="00E3384B">
        <w:rPr>
          <w:rFonts w:ascii="Arial" w:hAnsi="Arial" w:cs="Arial"/>
          <w:b/>
          <w:sz w:val="22"/>
          <w:u w:val="single"/>
        </w:rPr>
        <w:t xml:space="preserve">Risk Disclosure Statement </w:t>
      </w:r>
    </w:p>
    <w:p w14:paraId="42470C37" w14:textId="77777777" w:rsidR="00E3384B" w:rsidRPr="00E3384B" w:rsidRDefault="00E3384B" w:rsidP="00E3384B">
      <w:pPr>
        <w:widowControl w:val="0"/>
        <w:numPr>
          <w:ilvl w:val="0"/>
          <w:numId w:val="1"/>
        </w:numPr>
        <w:tabs>
          <w:tab w:val="left" w:pos="720"/>
        </w:tabs>
        <w:autoSpaceDE w:val="0"/>
        <w:autoSpaceDN w:val="0"/>
        <w:adjustRightInd w:val="0"/>
        <w:spacing w:after="0" w:line="276" w:lineRule="auto"/>
        <w:ind w:right="0"/>
        <w:textAlignment w:val="baseline"/>
        <w:rPr>
          <w:rFonts w:ascii="Arial" w:hAnsi="Arial" w:cs="Arial"/>
          <w:sz w:val="22"/>
        </w:rPr>
      </w:pPr>
      <w:r w:rsidRPr="00E3384B">
        <w:rPr>
          <w:rFonts w:ascii="Arial" w:hAnsi="Arial" w:cs="Arial"/>
          <w:sz w:val="22"/>
        </w:rPr>
        <w:t xml:space="preserve">The Client acknowledges that the Client has read and fully understands the terms of this agreement and accepts each of its terms and conditions. </w:t>
      </w:r>
    </w:p>
    <w:p w14:paraId="3AAC782A" w14:textId="77777777" w:rsidR="00E3384B" w:rsidRDefault="00E3384B" w:rsidP="00E3384B">
      <w:pPr>
        <w:widowControl w:val="0"/>
        <w:numPr>
          <w:ilvl w:val="0"/>
          <w:numId w:val="1"/>
        </w:numPr>
        <w:tabs>
          <w:tab w:val="left" w:pos="720"/>
        </w:tabs>
        <w:autoSpaceDE w:val="0"/>
        <w:autoSpaceDN w:val="0"/>
        <w:adjustRightInd w:val="0"/>
        <w:spacing w:after="0" w:line="276" w:lineRule="auto"/>
        <w:ind w:right="0"/>
        <w:textAlignment w:val="baseline"/>
        <w:rPr>
          <w:rFonts w:ascii="Arial" w:hAnsi="Arial" w:cs="Arial"/>
          <w:sz w:val="22"/>
        </w:rPr>
      </w:pPr>
      <w:r w:rsidRPr="00E3384B">
        <w:rPr>
          <w:rFonts w:ascii="Arial" w:hAnsi="Arial" w:cs="Arial"/>
          <w:sz w:val="22"/>
        </w:rPr>
        <w:t>The Client also undertakes to immediately notify the Bank of any change in its address.</w:t>
      </w:r>
    </w:p>
    <w:p w14:paraId="7FED7234" w14:textId="77777777" w:rsidR="00E3384B" w:rsidRDefault="00E3384B" w:rsidP="00E3384B">
      <w:pPr>
        <w:widowControl w:val="0"/>
        <w:tabs>
          <w:tab w:val="left" w:pos="720"/>
        </w:tabs>
        <w:autoSpaceDE w:val="0"/>
        <w:autoSpaceDN w:val="0"/>
        <w:adjustRightInd w:val="0"/>
        <w:spacing w:after="0" w:line="276" w:lineRule="auto"/>
        <w:ind w:right="0"/>
        <w:textAlignment w:val="baseline"/>
        <w:rPr>
          <w:rFonts w:ascii="Arial" w:hAnsi="Arial" w:cs="Arial"/>
          <w:sz w:val="22"/>
        </w:rPr>
      </w:pPr>
    </w:p>
    <w:p w14:paraId="5398140E" w14:textId="77777777" w:rsidR="00E3384B" w:rsidRPr="00E3384B" w:rsidRDefault="00E3384B" w:rsidP="00E3384B">
      <w:pPr>
        <w:widowControl w:val="0"/>
        <w:tabs>
          <w:tab w:val="left" w:pos="720"/>
        </w:tabs>
        <w:autoSpaceDE w:val="0"/>
        <w:autoSpaceDN w:val="0"/>
        <w:adjustRightInd w:val="0"/>
        <w:spacing w:after="0" w:line="276" w:lineRule="auto"/>
        <w:ind w:right="0"/>
        <w:textAlignment w:val="baseline"/>
        <w:rPr>
          <w:rFonts w:ascii="Arial" w:hAnsi="Arial" w:cs="Arial"/>
          <w:sz w:val="22"/>
        </w:rPr>
      </w:pPr>
    </w:p>
    <w:p w14:paraId="058AC977" w14:textId="77777777" w:rsidR="00E3384B" w:rsidRPr="00E3384B" w:rsidRDefault="00E3384B" w:rsidP="00E3384B">
      <w:pPr>
        <w:snapToGrid w:val="0"/>
        <w:spacing w:line="276" w:lineRule="auto"/>
        <w:rPr>
          <w:rFonts w:ascii="Arial" w:hAnsi="Arial" w:cs="Arial"/>
          <w:sz w:val="22"/>
        </w:rPr>
      </w:pPr>
      <w:r w:rsidRPr="00E3384B">
        <w:rPr>
          <w:rFonts w:ascii="Arial" w:hAnsi="Arial" w:cs="Arial"/>
          <w:sz w:val="22"/>
        </w:rPr>
        <w:t>Yours truly,</w:t>
      </w:r>
    </w:p>
    <w:tbl>
      <w:tblPr>
        <w:tblpPr w:leftFromText="180" w:rightFromText="180" w:vertAnchor="text" w:tblpX="16" w:tblpY="4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5"/>
      </w:tblGrid>
      <w:tr w:rsidR="00E3384B" w14:paraId="177FE6C4" w14:textId="77777777" w:rsidTr="00E3384B">
        <w:tblPrEx>
          <w:tblCellMar>
            <w:top w:w="0" w:type="dxa"/>
            <w:bottom w:w="0" w:type="dxa"/>
          </w:tblCellMar>
        </w:tblPrEx>
        <w:trPr>
          <w:trHeight w:val="930"/>
        </w:trPr>
        <w:tc>
          <w:tcPr>
            <w:tcW w:w="3105" w:type="dxa"/>
          </w:tcPr>
          <w:p w14:paraId="101BD9D1" w14:textId="77777777" w:rsidR="00E3384B" w:rsidRDefault="00E3384B" w:rsidP="00E3384B">
            <w:pPr>
              <w:snapToGrid w:val="0"/>
              <w:spacing w:line="276" w:lineRule="auto"/>
              <w:ind w:left="0" w:firstLine="0"/>
              <w:rPr>
                <w:rFonts w:ascii="Arial" w:hAnsi="Arial" w:cs="Arial"/>
                <w:sz w:val="22"/>
              </w:rPr>
            </w:pPr>
          </w:p>
        </w:tc>
      </w:tr>
    </w:tbl>
    <w:p w14:paraId="385F846A" w14:textId="06B64B98" w:rsidR="00E3384B" w:rsidRPr="00E3384B" w:rsidRDefault="00E3384B" w:rsidP="00E3384B">
      <w:pPr>
        <w:snapToGrid w:val="0"/>
        <w:spacing w:line="276" w:lineRule="auto"/>
        <w:rPr>
          <w:rFonts w:ascii="Arial" w:hAnsi="Arial" w:cs="Arial"/>
          <w:sz w:val="22"/>
        </w:rPr>
      </w:pPr>
      <w:r w:rsidRPr="00E3384B">
        <w:rPr>
          <w:rFonts w:ascii="Arial" w:hAnsi="Arial" w:cs="Arial"/>
          <w:sz w:val="22"/>
        </w:rPr>
        <w:t>For and on behalf of:</w:t>
      </w:r>
      <w:r>
        <w:rPr>
          <w:rFonts w:ascii="Arial" w:hAnsi="Arial" w:cs="Arial"/>
          <w:sz w:val="22"/>
        </w:rPr>
        <w:t xml:space="preserve"> ____________________</w:t>
      </w:r>
    </w:p>
    <w:p w14:paraId="4367BA76" w14:textId="77777777" w:rsidR="00E3384B" w:rsidRPr="00E3384B" w:rsidRDefault="00E3384B" w:rsidP="00E3384B">
      <w:pPr>
        <w:snapToGrid w:val="0"/>
        <w:spacing w:line="276" w:lineRule="auto"/>
        <w:rPr>
          <w:rFonts w:ascii="Arial" w:hAnsi="Arial" w:cs="Arial"/>
          <w:sz w:val="22"/>
        </w:rPr>
      </w:pPr>
    </w:p>
    <w:p w14:paraId="4DB68BB1" w14:textId="77777777" w:rsidR="00E3384B" w:rsidRDefault="00E3384B" w:rsidP="00E3384B">
      <w:pPr>
        <w:snapToGrid w:val="0"/>
        <w:spacing w:line="276" w:lineRule="auto"/>
        <w:ind w:left="0" w:firstLine="0"/>
        <w:rPr>
          <w:rFonts w:ascii="Arial" w:hAnsi="Arial" w:cs="Arial"/>
          <w:sz w:val="22"/>
        </w:rPr>
      </w:pPr>
    </w:p>
    <w:p w14:paraId="50724427" w14:textId="77777777" w:rsidR="00E3384B" w:rsidRDefault="00E3384B" w:rsidP="00E3384B">
      <w:pPr>
        <w:snapToGrid w:val="0"/>
        <w:spacing w:line="276" w:lineRule="auto"/>
        <w:ind w:left="0" w:firstLine="0"/>
        <w:rPr>
          <w:rFonts w:ascii="Arial" w:hAnsi="Arial" w:cs="Arial"/>
          <w:sz w:val="22"/>
        </w:rPr>
      </w:pPr>
    </w:p>
    <w:p w14:paraId="7D69268B" w14:textId="6F19EBA6" w:rsidR="00E3384B" w:rsidRPr="00E3384B" w:rsidRDefault="00E3384B" w:rsidP="00E3384B">
      <w:pPr>
        <w:snapToGrid w:val="0"/>
        <w:spacing w:line="276" w:lineRule="auto"/>
        <w:ind w:left="0" w:firstLine="0"/>
        <w:rPr>
          <w:rFonts w:ascii="Arial" w:hAnsi="Arial" w:cs="Arial"/>
          <w:sz w:val="22"/>
        </w:rPr>
      </w:pPr>
      <w:r w:rsidRPr="00E3384B">
        <w:rPr>
          <w:rFonts w:ascii="Arial" w:hAnsi="Arial" w:cs="Arial"/>
          <w:sz w:val="22"/>
        </w:rPr>
        <w:t>Address: ______________________________</w:t>
      </w:r>
    </w:p>
    <w:p w14:paraId="0D46DBEC" w14:textId="33A8343F" w:rsidR="00E3384B" w:rsidRPr="00E3384B" w:rsidRDefault="00E3384B" w:rsidP="00E3384B">
      <w:pPr>
        <w:snapToGrid w:val="0"/>
        <w:spacing w:line="276" w:lineRule="auto"/>
        <w:ind w:left="0" w:firstLine="0"/>
        <w:rPr>
          <w:rFonts w:ascii="Arial" w:hAnsi="Arial" w:cs="Arial"/>
          <w:i/>
          <w:sz w:val="22"/>
        </w:rPr>
      </w:pPr>
      <w:r w:rsidRPr="00E3384B">
        <w:rPr>
          <w:rFonts w:ascii="Arial" w:hAnsi="Arial" w:cs="Arial"/>
          <w:sz w:val="22"/>
        </w:rPr>
        <w:t>signed by</w:t>
      </w:r>
      <w:r>
        <w:rPr>
          <w:rFonts w:ascii="Arial" w:hAnsi="Arial" w:cs="Arial"/>
          <w:sz w:val="22"/>
        </w:rPr>
        <w:t xml:space="preserve">: </w:t>
      </w:r>
      <w:r w:rsidRPr="00E3384B">
        <w:rPr>
          <w:rFonts w:ascii="Arial" w:hAnsi="Arial" w:cs="Arial"/>
          <w:sz w:val="22"/>
        </w:rPr>
        <w:t>_____________________________</w:t>
      </w:r>
      <w:r>
        <w:rPr>
          <w:rFonts w:ascii="Arial" w:hAnsi="Arial" w:cs="Arial"/>
          <w:sz w:val="22"/>
        </w:rPr>
        <w:t>_</w:t>
      </w:r>
    </w:p>
    <w:p w14:paraId="5CFEE2B6" w14:textId="77777777" w:rsidR="00E3384B" w:rsidRPr="00E3384B" w:rsidRDefault="00E3384B" w:rsidP="00E3384B">
      <w:pPr>
        <w:snapToGrid w:val="0"/>
        <w:spacing w:line="276" w:lineRule="auto"/>
        <w:rPr>
          <w:rFonts w:ascii="Arial" w:hAnsi="Arial" w:cs="Arial"/>
          <w:i/>
          <w:sz w:val="22"/>
        </w:rPr>
      </w:pPr>
      <w:r w:rsidRPr="00E3384B">
        <w:rPr>
          <w:rFonts w:ascii="Arial" w:hAnsi="Arial" w:cs="Arial"/>
          <w:i/>
          <w:sz w:val="22"/>
        </w:rPr>
        <w:t>Director(s)/Authorised Signatory(</w:t>
      </w:r>
      <w:proofErr w:type="spellStart"/>
      <w:r w:rsidRPr="00E3384B">
        <w:rPr>
          <w:rFonts w:ascii="Arial" w:hAnsi="Arial" w:cs="Arial"/>
          <w:i/>
          <w:sz w:val="22"/>
        </w:rPr>
        <w:t>ies</w:t>
      </w:r>
      <w:proofErr w:type="spellEnd"/>
      <w:r w:rsidRPr="00E3384B">
        <w:rPr>
          <w:rFonts w:ascii="Arial" w:hAnsi="Arial" w:cs="Arial"/>
          <w:i/>
          <w:sz w:val="22"/>
        </w:rPr>
        <w:t>)</w:t>
      </w:r>
    </w:p>
    <w:p w14:paraId="47A1CCA4" w14:textId="2EEFA731" w:rsidR="00EF42C7" w:rsidRPr="00E3384B" w:rsidRDefault="00E3384B" w:rsidP="00E3384B">
      <w:pPr>
        <w:ind w:left="0" w:firstLine="0"/>
        <w:rPr>
          <w:rFonts w:ascii="Arial" w:hAnsi="Arial" w:cs="Arial"/>
          <w:sz w:val="22"/>
        </w:rPr>
      </w:pPr>
      <w:r w:rsidRPr="00E3384B">
        <w:rPr>
          <w:rFonts w:ascii="Arial" w:hAnsi="Arial" w:cs="Arial"/>
          <w:sz w:val="22"/>
        </w:rPr>
        <w:t>Date: _______</w:t>
      </w:r>
    </w:p>
    <w:sectPr w:rsidR="00EF42C7" w:rsidRPr="00E3384B" w:rsidSect="00E3384B">
      <w:footerReference w:type="default" r:id="rId7"/>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51AEE" w14:textId="77777777" w:rsidR="00DB7333" w:rsidRDefault="00DB7333" w:rsidP="00E3384B">
      <w:pPr>
        <w:spacing w:after="0" w:line="240" w:lineRule="auto"/>
      </w:pPr>
      <w:r>
        <w:separator/>
      </w:r>
    </w:p>
  </w:endnote>
  <w:endnote w:type="continuationSeparator" w:id="0">
    <w:p w14:paraId="1B4CDBCA" w14:textId="77777777" w:rsidR="00DB7333" w:rsidRDefault="00DB7333" w:rsidP="00E33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0CC1" w14:textId="4212316B" w:rsidR="00E3384B" w:rsidRPr="008D46CC" w:rsidRDefault="00E3384B" w:rsidP="00E3384B">
    <w:pPr>
      <w:pStyle w:val="Default"/>
      <w:rPr>
        <w:rFonts w:ascii="Arial" w:hAnsi="Arial" w:cs="Arial"/>
        <w:bCs/>
        <w:sz w:val="22"/>
        <w:szCs w:val="22"/>
      </w:rPr>
    </w:pPr>
    <w:r>
      <w:rPr>
        <w:rFonts w:ascii="Arial" w:hAnsi="Arial" w:cs="Arial"/>
        <w:bCs/>
        <w:sz w:val="22"/>
        <w:szCs w:val="22"/>
      </w:rPr>
      <w:t xml:space="preserve">                                                                                                            </w:t>
    </w:r>
    <w:r w:rsidRPr="008D46CC">
      <w:rPr>
        <w:rFonts w:ascii="Arial" w:hAnsi="Arial" w:cs="Arial"/>
        <w:bCs/>
        <w:sz w:val="22"/>
        <w:szCs w:val="22"/>
      </w:rPr>
      <w:t>Authorized Signatory</w:t>
    </w:r>
  </w:p>
  <w:tbl>
    <w:tblPr>
      <w:tblW w:w="2415" w:type="dxa"/>
      <w:tblInd w:w="6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5"/>
    </w:tblGrid>
    <w:tr w:rsidR="00E3384B" w14:paraId="2D653EA6" w14:textId="77777777" w:rsidTr="00E3384B">
      <w:tblPrEx>
        <w:tblCellMar>
          <w:top w:w="0" w:type="dxa"/>
          <w:bottom w:w="0" w:type="dxa"/>
        </w:tblCellMar>
      </w:tblPrEx>
      <w:trPr>
        <w:trHeight w:val="780"/>
      </w:trPr>
      <w:tc>
        <w:tcPr>
          <w:tcW w:w="2415" w:type="dxa"/>
        </w:tcPr>
        <w:p w14:paraId="18B686FC" w14:textId="77777777" w:rsidR="00E3384B" w:rsidRDefault="00E3384B" w:rsidP="00E3384B">
          <w:pPr>
            <w:pStyle w:val="Footer"/>
            <w:ind w:left="0" w:firstLine="0"/>
            <w:jc w:val="right"/>
          </w:pPr>
        </w:p>
      </w:tc>
    </w:tr>
  </w:tbl>
  <w:p w14:paraId="2E43C836" w14:textId="77777777" w:rsidR="00E3384B" w:rsidRDefault="00E33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EBF44" w14:textId="77777777" w:rsidR="00DB7333" w:rsidRDefault="00DB7333" w:rsidP="00E3384B">
      <w:pPr>
        <w:spacing w:after="0" w:line="240" w:lineRule="auto"/>
      </w:pPr>
      <w:r>
        <w:separator/>
      </w:r>
    </w:p>
  </w:footnote>
  <w:footnote w:type="continuationSeparator" w:id="0">
    <w:p w14:paraId="45B0D146" w14:textId="77777777" w:rsidR="00DB7333" w:rsidRDefault="00DB7333" w:rsidP="00E33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31FA"/>
    <w:multiLevelType w:val="hybridMultilevel"/>
    <w:tmpl w:val="BD6456BC"/>
    <w:lvl w:ilvl="0" w:tplc="04090003">
      <w:start w:val="1"/>
      <w:numFmt w:val="bullet"/>
      <w:lvlText w:val=""/>
      <w:lvlJc w:val="left"/>
      <w:pPr>
        <w:tabs>
          <w:tab w:val="num" w:pos="1200"/>
        </w:tabs>
        <w:ind w:left="1200" w:hanging="480"/>
      </w:pPr>
      <w:rPr>
        <w:rFonts w:ascii="Wingdings" w:hAnsi="Wingdings" w:hint="default"/>
      </w:rPr>
    </w:lvl>
    <w:lvl w:ilvl="1" w:tplc="04090003">
      <w:start w:val="1"/>
      <w:numFmt w:val="bullet"/>
      <w:lvlText w:val=""/>
      <w:lvlJc w:val="left"/>
      <w:pPr>
        <w:tabs>
          <w:tab w:val="num" w:pos="1200"/>
        </w:tabs>
        <w:ind w:left="1200" w:hanging="480"/>
      </w:pPr>
      <w:rPr>
        <w:rFonts w:ascii="Wingdings" w:hAnsi="Wingdings" w:hint="default"/>
      </w:rPr>
    </w:lvl>
    <w:lvl w:ilvl="2" w:tplc="04090005" w:tentative="1">
      <w:start w:val="1"/>
      <w:numFmt w:val="bullet"/>
      <w:lvlText w:val=""/>
      <w:lvlJc w:val="left"/>
      <w:pPr>
        <w:tabs>
          <w:tab w:val="num" w:pos="2103"/>
        </w:tabs>
        <w:ind w:left="2103" w:hanging="480"/>
      </w:pPr>
      <w:rPr>
        <w:rFonts w:ascii="Wingdings" w:hAnsi="Wingdings" w:hint="default"/>
      </w:rPr>
    </w:lvl>
    <w:lvl w:ilvl="3" w:tplc="04090001" w:tentative="1">
      <w:start w:val="1"/>
      <w:numFmt w:val="bullet"/>
      <w:lvlText w:val=""/>
      <w:lvlJc w:val="left"/>
      <w:pPr>
        <w:tabs>
          <w:tab w:val="num" w:pos="2583"/>
        </w:tabs>
        <w:ind w:left="2583" w:hanging="480"/>
      </w:pPr>
      <w:rPr>
        <w:rFonts w:ascii="Wingdings" w:hAnsi="Wingdings" w:hint="default"/>
      </w:rPr>
    </w:lvl>
    <w:lvl w:ilvl="4" w:tplc="04090003" w:tentative="1">
      <w:start w:val="1"/>
      <w:numFmt w:val="bullet"/>
      <w:lvlText w:val=""/>
      <w:lvlJc w:val="left"/>
      <w:pPr>
        <w:tabs>
          <w:tab w:val="num" w:pos="3063"/>
        </w:tabs>
        <w:ind w:left="3063" w:hanging="480"/>
      </w:pPr>
      <w:rPr>
        <w:rFonts w:ascii="Wingdings" w:hAnsi="Wingdings" w:hint="default"/>
      </w:rPr>
    </w:lvl>
    <w:lvl w:ilvl="5" w:tplc="04090005" w:tentative="1">
      <w:start w:val="1"/>
      <w:numFmt w:val="bullet"/>
      <w:lvlText w:val=""/>
      <w:lvlJc w:val="left"/>
      <w:pPr>
        <w:tabs>
          <w:tab w:val="num" w:pos="3543"/>
        </w:tabs>
        <w:ind w:left="3543" w:hanging="480"/>
      </w:pPr>
      <w:rPr>
        <w:rFonts w:ascii="Wingdings" w:hAnsi="Wingdings" w:hint="default"/>
      </w:rPr>
    </w:lvl>
    <w:lvl w:ilvl="6" w:tplc="04090001" w:tentative="1">
      <w:start w:val="1"/>
      <w:numFmt w:val="bullet"/>
      <w:lvlText w:val=""/>
      <w:lvlJc w:val="left"/>
      <w:pPr>
        <w:tabs>
          <w:tab w:val="num" w:pos="4023"/>
        </w:tabs>
        <w:ind w:left="4023" w:hanging="480"/>
      </w:pPr>
      <w:rPr>
        <w:rFonts w:ascii="Wingdings" w:hAnsi="Wingdings" w:hint="default"/>
      </w:rPr>
    </w:lvl>
    <w:lvl w:ilvl="7" w:tplc="04090003" w:tentative="1">
      <w:start w:val="1"/>
      <w:numFmt w:val="bullet"/>
      <w:lvlText w:val=""/>
      <w:lvlJc w:val="left"/>
      <w:pPr>
        <w:tabs>
          <w:tab w:val="num" w:pos="4503"/>
        </w:tabs>
        <w:ind w:left="4503" w:hanging="480"/>
      </w:pPr>
      <w:rPr>
        <w:rFonts w:ascii="Wingdings" w:hAnsi="Wingdings" w:hint="default"/>
      </w:rPr>
    </w:lvl>
    <w:lvl w:ilvl="8" w:tplc="04090005" w:tentative="1">
      <w:start w:val="1"/>
      <w:numFmt w:val="bullet"/>
      <w:lvlText w:val=""/>
      <w:lvlJc w:val="left"/>
      <w:pPr>
        <w:tabs>
          <w:tab w:val="num" w:pos="4983"/>
        </w:tabs>
        <w:ind w:left="4983" w:hanging="480"/>
      </w:pPr>
      <w:rPr>
        <w:rFonts w:ascii="Wingdings" w:hAnsi="Wingdings" w:hint="default"/>
      </w:rPr>
    </w:lvl>
  </w:abstractNum>
  <w:abstractNum w:abstractNumId="1" w15:restartNumberingAfterBreak="0">
    <w:nsid w:val="63EB7DB8"/>
    <w:multiLevelType w:val="multilevel"/>
    <w:tmpl w:val="C514198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49431401">
    <w:abstractNumId w:val="0"/>
  </w:num>
  <w:num w:numId="2" w16cid:durableId="2075421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4B"/>
    <w:rsid w:val="001D2E8B"/>
    <w:rsid w:val="00541B4D"/>
    <w:rsid w:val="00771FAE"/>
    <w:rsid w:val="008831A9"/>
    <w:rsid w:val="00A31039"/>
    <w:rsid w:val="00AF0DDA"/>
    <w:rsid w:val="00C06BD8"/>
    <w:rsid w:val="00DB7333"/>
    <w:rsid w:val="00E3384B"/>
    <w:rsid w:val="00EF42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69D7A"/>
  <w15:chartTrackingRefBased/>
  <w15:docId w15:val="{B4D4FAAA-5ADD-4593-B650-5BF003135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84B"/>
    <w:pPr>
      <w:spacing w:line="268" w:lineRule="auto"/>
      <w:ind w:left="25" w:right="9" w:hanging="10"/>
      <w:jc w:val="both"/>
    </w:pPr>
    <w:rPr>
      <w:rFonts w:ascii="Times New Roman" w:eastAsia="Times New Roman" w:hAnsi="Times New Roman" w:cs="Times New Roman"/>
      <w:color w:val="000000"/>
      <w:kern w:val="0"/>
      <w:sz w:val="23"/>
      <w:lang w:eastAsia="en-IN"/>
      <w14:ligatures w14:val="none"/>
    </w:rPr>
  </w:style>
  <w:style w:type="paragraph" w:styleId="Heading1">
    <w:name w:val="heading 1"/>
    <w:basedOn w:val="Normal"/>
    <w:next w:val="Normal"/>
    <w:link w:val="Heading1Char"/>
    <w:uiPriority w:val="9"/>
    <w:qFormat/>
    <w:rsid w:val="00E338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4B"/>
    <w:rPr>
      <w:rFonts w:eastAsiaTheme="majorEastAsia" w:cstheme="majorBidi"/>
      <w:color w:val="272727" w:themeColor="text1" w:themeTint="D8"/>
    </w:rPr>
  </w:style>
  <w:style w:type="paragraph" w:styleId="Title">
    <w:name w:val="Title"/>
    <w:basedOn w:val="Normal"/>
    <w:next w:val="Normal"/>
    <w:link w:val="TitleChar"/>
    <w:uiPriority w:val="10"/>
    <w:qFormat/>
    <w:rsid w:val="00E338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4B"/>
    <w:pPr>
      <w:spacing w:before="160"/>
      <w:jc w:val="center"/>
    </w:pPr>
    <w:rPr>
      <w:i/>
      <w:iCs/>
      <w:color w:val="404040" w:themeColor="text1" w:themeTint="BF"/>
    </w:rPr>
  </w:style>
  <w:style w:type="character" w:customStyle="1" w:styleId="QuoteChar">
    <w:name w:val="Quote Char"/>
    <w:basedOn w:val="DefaultParagraphFont"/>
    <w:link w:val="Quote"/>
    <w:uiPriority w:val="29"/>
    <w:rsid w:val="00E3384B"/>
    <w:rPr>
      <w:i/>
      <w:iCs/>
      <w:color w:val="404040" w:themeColor="text1" w:themeTint="BF"/>
    </w:rPr>
  </w:style>
  <w:style w:type="paragraph" w:styleId="ListParagraph">
    <w:name w:val="List Paragraph"/>
    <w:aliases w:val="Bullet 1,List Paragraph1,List Paragraph Char Char,b1,d_bodyb,lp1,Amex_bullet,Figure_name,List Paragraph11,Number_1,SGLText List Paragraph,new,List Paragraph2,Colorful List - Accent 11,Normal Sentence,ListPar1,heading 9,Heading 91,Annexure"/>
    <w:basedOn w:val="Normal"/>
    <w:link w:val="ListParagraphChar"/>
    <w:uiPriority w:val="34"/>
    <w:qFormat/>
    <w:rsid w:val="00E3384B"/>
    <w:pPr>
      <w:ind w:left="720"/>
      <w:contextualSpacing/>
    </w:pPr>
  </w:style>
  <w:style w:type="character" w:styleId="IntenseEmphasis">
    <w:name w:val="Intense Emphasis"/>
    <w:basedOn w:val="DefaultParagraphFont"/>
    <w:uiPriority w:val="21"/>
    <w:qFormat/>
    <w:rsid w:val="00E3384B"/>
    <w:rPr>
      <w:i/>
      <w:iCs/>
      <w:color w:val="0F4761" w:themeColor="accent1" w:themeShade="BF"/>
    </w:rPr>
  </w:style>
  <w:style w:type="paragraph" w:styleId="IntenseQuote">
    <w:name w:val="Intense Quote"/>
    <w:basedOn w:val="Normal"/>
    <w:next w:val="Normal"/>
    <w:link w:val="IntenseQuoteChar"/>
    <w:uiPriority w:val="30"/>
    <w:qFormat/>
    <w:rsid w:val="00E338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4B"/>
    <w:rPr>
      <w:i/>
      <w:iCs/>
      <w:color w:val="0F4761" w:themeColor="accent1" w:themeShade="BF"/>
    </w:rPr>
  </w:style>
  <w:style w:type="character" w:styleId="IntenseReference">
    <w:name w:val="Intense Reference"/>
    <w:basedOn w:val="DefaultParagraphFont"/>
    <w:uiPriority w:val="32"/>
    <w:qFormat/>
    <w:rsid w:val="00E3384B"/>
    <w:rPr>
      <w:b/>
      <w:bCs/>
      <w:smallCaps/>
      <w:color w:val="0F4761" w:themeColor="accent1" w:themeShade="BF"/>
      <w:spacing w:val="5"/>
    </w:rPr>
  </w:style>
  <w:style w:type="paragraph" w:styleId="NoSpacing">
    <w:name w:val="No Spacing"/>
    <w:link w:val="NoSpacingChar"/>
    <w:uiPriority w:val="1"/>
    <w:qFormat/>
    <w:rsid w:val="00E3384B"/>
    <w:pPr>
      <w:spacing w:after="0" w:line="240" w:lineRule="auto"/>
      <w:ind w:left="25" w:right="9" w:hanging="10"/>
      <w:jc w:val="both"/>
    </w:pPr>
    <w:rPr>
      <w:rFonts w:ascii="Times New Roman" w:eastAsia="Times New Roman" w:hAnsi="Times New Roman" w:cs="Times New Roman"/>
      <w:color w:val="000000"/>
      <w:kern w:val="0"/>
      <w:sz w:val="23"/>
      <w:lang w:eastAsia="en-IN"/>
      <w14:ligatures w14:val="none"/>
    </w:rPr>
  </w:style>
  <w:style w:type="character" w:customStyle="1" w:styleId="NoSpacingChar">
    <w:name w:val="No Spacing Char"/>
    <w:link w:val="NoSpacing"/>
    <w:uiPriority w:val="1"/>
    <w:rsid w:val="00E3384B"/>
    <w:rPr>
      <w:rFonts w:ascii="Times New Roman" w:eastAsia="Times New Roman" w:hAnsi="Times New Roman" w:cs="Times New Roman"/>
      <w:color w:val="000000"/>
      <w:kern w:val="0"/>
      <w:sz w:val="23"/>
      <w:lang w:eastAsia="en-IN"/>
      <w14:ligatures w14:val="none"/>
    </w:rPr>
  </w:style>
  <w:style w:type="character" w:customStyle="1" w:styleId="ListParagraphChar">
    <w:name w:val="List Paragraph Char"/>
    <w:aliases w:val="Bullet 1 Char,List Paragraph1 Char,List Paragraph Char Char Char,b1 Char,d_bodyb Char,lp1 Char,Amex_bullet Char,Figure_name Char,List Paragraph11 Char,Number_1 Char,SGLText List Paragraph Char,new Char,List Paragraph2 Char"/>
    <w:link w:val="ListParagraph"/>
    <w:uiPriority w:val="34"/>
    <w:qFormat/>
    <w:locked/>
    <w:rsid w:val="00E3384B"/>
  </w:style>
  <w:style w:type="paragraph" w:styleId="Header">
    <w:name w:val="header"/>
    <w:basedOn w:val="Normal"/>
    <w:link w:val="HeaderChar"/>
    <w:uiPriority w:val="99"/>
    <w:unhideWhenUsed/>
    <w:rsid w:val="00E33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84B"/>
    <w:rPr>
      <w:rFonts w:ascii="Times New Roman" w:eastAsia="Times New Roman" w:hAnsi="Times New Roman" w:cs="Times New Roman"/>
      <w:color w:val="000000"/>
      <w:kern w:val="0"/>
      <w:sz w:val="23"/>
      <w:lang w:eastAsia="en-IN"/>
      <w14:ligatures w14:val="none"/>
    </w:rPr>
  </w:style>
  <w:style w:type="paragraph" w:styleId="Footer">
    <w:name w:val="footer"/>
    <w:basedOn w:val="Normal"/>
    <w:link w:val="FooterChar"/>
    <w:uiPriority w:val="99"/>
    <w:unhideWhenUsed/>
    <w:rsid w:val="00E33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84B"/>
    <w:rPr>
      <w:rFonts w:ascii="Times New Roman" w:eastAsia="Times New Roman" w:hAnsi="Times New Roman" w:cs="Times New Roman"/>
      <w:color w:val="000000"/>
      <w:kern w:val="0"/>
      <w:sz w:val="23"/>
      <w:lang w:eastAsia="en-IN"/>
      <w14:ligatures w14:val="none"/>
    </w:rPr>
  </w:style>
  <w:style w:type="paragraph" w:customStyle="1" w:styleId="Default">
    <w:name w:val="Default"/>
    <w:rsid w:val="00E3384B"/>
    <w:pPr>
      <w:autoSpaceDE w:val="0"/>
      <w:autoSpaceDN w:val="0"/>
      <w:adjustRightInd w:val="0"/>
      <w:spacing w:after="0" w:line="240" w:lineRule="auto"/>
    </w:pPr>
    <w:rPr>
      <w:rFonts w:ascii="Times New Roman" w:eastAsia="Calibri" w:hAnsi="Times New Roman" w:cs="Times New Roman"/>
      <w:color w:val="000000"/>
      <w:kern w:val="0"/>
      <w:sz w:val="24"/>
      <w:szCs w:val="24"/>
      <w:lang w:val="en-US"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1420</Words>
  <Characters>8096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SBI</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Sandesh Gajadhane CM Bullion IBU GIFT City</dc:creator>
  <cp:keywords/>
  <dc:description/>
  <cp:lastModifiedBy>Sandesh Gajadhane CM Bullion IBU GIFT City</cp:lastModifiedBy>
  <cp:revision>1</cp:revision>
  <dcterms:created xsi:type="dcterms:W3CDTF">2026-05-02T13:36:00Z</dcterms:created>
  <dcterms:modified xsi:type="dcterms:W3CDTF">2026-05-02T13:49:00Z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2026-05-02T13:49:06Z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25bf111a-0d89-4f2b-bc43-2eb4a4bc78f9</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